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13030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5" name="Text Box 2"/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6772606" w:rsidRPr="08263483">
                              <w:rPr>
                                <w:noProof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eastAsia="und" w:val="und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824230" cy="1029335"/>
                                  <wp:effectExtent b="0" l="0" r="0" t="0"/>
                                  <wp:docPr descr="Logo_Suan_Color" id="1025" name="Picture 2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Logo_Suan_Color" id="1025" name="Picture 2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824230" cy="1029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677260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677260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130300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635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รายละเอียดของรายวิชา(Course Specification)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รหัสวิชา  PPM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๓๓๑๗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รายวิชา การจัดการโลจิสติกส์และซัพพลายเชน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สาขาวิชา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คณะ/วิทยาลัยโลจิสติกส์และซัพพลายเชน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มหาวิทยาลัยราชภัฏสวนสุนันทา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ภาคการศึกษา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ปีการศึกษา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๒๕๖๔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หมวดที่๑ข้อมูลทั่วไป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๑. รหัสและชื่อรายวิชา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รหัสวิชา</w:t>
        <w:tab/>
        <w:tab/>
        <w:tab/>
        <w:t xml:space="preserve">PPM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๓๓๑๗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Sarabun" w:cs="Sarabun" w:eastAsia="Sarabun" w:hAnsi="Sarabun"/>
          <w:color w:val="c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ชื่อรายวิชาภาษาไทย</w:t>
        <w:tab/>
        <w:t xml:space="preserve">การจัดการโลจิสติกส์และซัพพลายเชน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ชื่อรายวิชาภาษาอังกฤษ</w:t>
        <w:tab/>
        <w:t xml:space="preserve">Logistics and Supply Chain</w:t>
      </w:r>
    </w:p>
    <w:p w:rsidR="00000000" w:rsidDel="00000000" w:rsidP="00000000" w:rsidRDefault="00000000" w:rsidRPr="00000000" w14:paraId="0000000E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40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 จำนวนหน่วยกิต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๓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 (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๓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-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๐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-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๖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0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rPr>
          <w:rFonts w:ascii="Sarabun" w:cs="Sarabun" w:eastAsia="Sarabun" w:hAnsi="Sarabun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 หลักสูตรและประเภทของรายวิชา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๓.๑  หลักสูตร    </w:t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รัฐประศาสนศาสตร์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rPr>
          <w:rFonts w:ascii="Sarabun" w:cs="Sarabun" w:eastAsia="Sarabun" w:hAnsi="Sarabun"/>
          <w:color w:val="00000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๓.๒ ประเภทของรายวิชา  </w:t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วิชาแกน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๔.อาจารย์ผู้รับผิดชอบรายวิชาและอาจารย์ผู้สอน</w:t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5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๔.๑  อาจารย์ผู้รับผิดชอบรายวิชา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ดร.ปกครอง มณีโรจน์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๔.๒ อาจารย์ผู้สอน</w:t>
        <w:tab/>
        <w:tab/>
        <w:tab/>
        <w:t xml:space="preserve">ดร.ปกครอง มณีโรจน์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๕.  สถานที่ติดต่อ</w:t>
        <w:tab/>
        <w:tab/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วิทยาลัยโลจิสติกส์และซัพพลายเชน </w:t>
      </w:r>
    </w:p>
    <w:p w:rsidR="00000000" w:rsidDel="00000000" w:rsidP="00000000" w:rsidRDefault="00000000" w:rsidRPr="00000000" w14:paraId="00000019">
      <w:pPr>
        <w:ind w:left="2880"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/ E – Mail: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pokkrong.ma@ssru.ac.th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๖. ภาคการศึกษา / ชั้นปีที่เรียน</w:t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ind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๖.๑ ภาคการศึกษาที่ </w:t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/  ปีการศึกษา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๒๕๖๕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๖.๒ จำนวนผู้เรียนที่รับได้</w:t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๓๘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คน</w:t>
      </w:r>
    </w:p>
    <w:p w:rsidR="00000000" w:rsidDel="00000000" w:rsidP="00000000" w:rsidRDefault="00000000" w:rsidRPr="00000000" w14:paraId="0000001E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๗. รายวิชาที่ต้องเรียนมาก่อน(Pre-requisite)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(ถ้ามี)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ไม่มี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๘. รายวิชาที่ต้องเรียนพร้อมกัน(Co-requisites)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(ถ้ามี)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ไม่มี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๙. สถานที่เรียน</w:t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คณะมนุษยศาสตร์และสังคมศาสตร์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๑๐.วันที่จัดทำหรือปรับปรุง</w:t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วันที่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๑๒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เดือน มกราคม พ.ศ.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๒๕๖๓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รายละเอียดของรายวิชาครั้งล่าสุด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หมวดที่๒จุดมุ่งหมายและวัตถุประสงค์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 จุดมุ่งหมายของรายวิชา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080"/>
        </w:tabs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๑.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นักศึกษาสามารถอธิบายการทำงานกิจกรรมโลจิสติกส์ทั้ง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๑๓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กิจกรรมได้</w:t>
      </w:r>
    </w:p>
    <w:p w:rsidR="00000000" w:rsidDel="00000000" w:rsidP="00000000" w:rsidRDefault="00000000" w:rsidRPr="00000000" w14:paraId="0000002D">
      <w:pPr>
        <w:tabs>
          <w:tab w:val="left" w:pos="1080"/>
        </w:tabs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๒.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นักศึกษาสามารถอธิบายกลยุทธ์ที่เกี่ยวข้องด้านโลจิสติกส์</w:t>
      </w:r>
    </w:p>
    <w:p w:rsidR="00000000" w:rsidDel="00000000" w:rsidP="00000000" w:rsidRDefault="00000000" w:rsidRPr="00000000" w14:paraId="0000002E">
      <w:pPr>
        <w:tabs>
          <w:tab w:val="left" w:pos="1080"/>
        </w:tabs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๓.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นักศึกษาเข้าบทบาทและการทำงานนักโลจิสติกส์ </w:t>
      </w:r>
    </w:p>
    <w:p w:rsidR="00000000" w:rsidDel="00000000" w:rsidP="00000000" w:rsidRDefault="00000000" w:rsidRPr="00000000" w14:paraId="0000002F">
      <w:pPr>
        <w:tabs>
          <w:tab w:val="left" w:pos="1080"/>
        </w:tabs>
        <w:ind w:left="144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 วัตถุประสงค์ในการพัฒนา/ปรับปรุงรายวิชา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เพื่อให้นักศึกษามีความรู้พื้นฐาน เป็นการเตรียมความพร้อมด้านปัญญาในการนำความรู้ ความเข้าใจ ในด้านการบริหารการจัดการโลจิสติกส์ระหว่างประเทศ สามารถวิเคราะห์และแก้ไขปัญหาในการทำงานด้านโลจิสติกส์ระหว่างประเทศและกลยุทธุ์การใช้ </w:t>
      </w:r>
      <w:r w:rsidDel="00000000" w:rsidR="00000000" w:rsidRPr="00000000"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outsourcing/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๓</w:t>
      </w:r>
      <w:r w:rsidDel="00000000" w:rsidR="00000000" w:rsidRPr="00000000"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หมวดที่๓ลักษณะและการดำเนินการ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 คำอธิบายรายวิชา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ศึกษาความสำคัญของโลจิสติกส์และโซ่อุปทานระหว่างประเทศ บทบาทความสำคัญของเขตการค้าเสรี ปัจจัยที่สำคัญและประโยชน์ของการทำ Global sourcing พาณิชย์อิเล็กทรอนิคส์ข้อมูลสารสนเทศที่เกี่ยวข้องในการจัดการโลจิสติกส์ระหว่างประเทศ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 จำนวนชั่วโมงที่ใช้ต่อภาคการศึกษา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2085"/>
        <w:gridCol w:w="2955"/>
        <w:gridCol w:w="2685"/>
        <w:tblGridChange w:id="0">
          <w:tblGrid>
            <w:gridCol w:w="2448"/>
            <w:gridCol w:w="2085"/>
            <w:gridCol w:w="2955"/>
            <w:gridCol w:w="26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บรรยาย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(ชั่วโมง)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สอนเสริม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(ชั่วโมง)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การฝึกปฏิบัติ/งาน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ภาคสนาม/การฝึกงาน(ชั่วโมง)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การศึกษาด้วยตนเอง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(ชั่วโมง)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๔๕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ชั่วโมง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สอนเสริมตามความต้องการนักศึกษาแต่ละราย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๓๐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ชั่วโมง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(ผู้รับผิดชอบรายวิชาโปรดระบุข้อมูล   ตัวอย่างเช่น  </w:t>
      </w: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๑ ชั่วโมง / สัปดาห์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A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๓.๑ ปรึกษาด้วยตนเองที่ห้องพักอาจารย์ผู้สอน  ห้อง ......... ชั้น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วิทยาลัยโลจิสติกส์และซัพพลายเชน</w:t>
      </w:r>
    </w:p>
    <w:p w:rsidR="00000000" w:rsidDel="00000000" w:rsidP="00000000" w:rsidRDefault="00000000" w:rsidRPr="00000000" w14:paraId="0000004B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๓.๒ ปรึกษาผ่านโทรศัพท์ที่ทำงาน / มือถือ  หมายเลข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๐๘๑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-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๗๓๔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-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๒๑๔๘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๓.๓ ปรึกษาผ่านจดหมายอิเล็กทรอนิกส์ (E-Mail) chattrarat.ho@gmail.com</w:t>
      </w:r>
    </w:p>
    <w:p w:rsidR="00000000" w:rsidDel="00000000" w:rsidP="00000000" w:rsidRDefault="00000000" w:rsidRPr="00000000" w14:paraId="0000004D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๓.๔ ปรึกษาผ่านเครือข่ายสังคมออนไลน์ (Facebook/Twitter/Line)...........................................................................</w:t>
      </w:r>
    </w:p>
    <w:p w:rsidR="00000000" w:rsidDel="00000000" w:rsidP="00000000" w:rsidRDefault="00000000" w:rsidRPr="00000000" w14:paraId="0000004E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๓.๕ ปรึกษาผ่านเครือข่ายคอมพิวเตอร์ (Internet/Webboard)...................................................................................</w:t>
      </w:r>
    </w:p>
    <w:p w:rsidR="00000000" w:rsidDel="00000000" w:rsidP="00000000" w:rsidRDefault="00000000" w:rsidRPr="00000000" w14:paraId="0000004F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หมวดที่๔การพัฒนาผลการเรียนรู้ของนักศึกษา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๑.คุณธรรม  จริยธรรม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๑.๑   คุณธรรม จริยธรรมที่ต้องพัฒนา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ตระหนักถึงคุณค่าของคุณธรรมและจริยธรรม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มีพฤติกรรมที่มีความรับผิดชอบต่อตนเอง สังคมและมีจิตสาธารณะ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🞆</w:t>
        <w:tab/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มีวินัย ซื่อสัตย์สุจริต รับผิดชอบต่อตนเองและผู้อื่น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(๔)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มีภาวะผู้นาเอื้อเฟื้อเผื่อแผ่ต่อผู้อื่น และสามารถทางานร่วมกับผู้อื่นได้ดี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🞆</w:t>
        <w:tab/>
        <w:t xml:space="preserve">(๕)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สานึกในหน้าที่ของตนเองและผู้อื่น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๑.๒   วิธีการสอน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อาจารย์ผู้สอนสอดแทรกคุณธรรม จริยธรรม และจรรยาบรรณวิชาชีพในการสอน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กำหนดให้มีวัฒนธรรมองค์กร เพื่อปลูกฝังให้นักศึกษามีระเบียบวินัย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เน้นการเข้าชั้นเรียนตรงเวลาและการแต่งกายให้เป็นตามระเบียบของมหาวิทยาลัย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(๔)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มอบหมายให้นักศึกษาทางานเป็นกลุ่ม ฝึกการเป็นผู้นา สมาชิกกลุ่ม ฝึกความรับผิดชอบ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๑.๓    วิธีการประเมินผล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ประเมินจากการตรงต่อเวลาของนักศึกษาในการเข้าชั้นเรียน การส่งงานที่ได้รับมอบหมาย </w:t>
      </w:r>
    </w:p>
    <w:p w:rsidR="00000000" w:rsidDel="00000000" w:rsidP="00000000" w:rsidRDefault="00000000" w:rsidRPr="00000000" w14:paraId="00000062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การเข้าร่วมกิจกรรม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ประเมินจากความรับผิดชอบในหน้าที่ที่ได้รับมอบหมาย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ประเมินจากพฤติกรรมการเรียนและการสอบ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 ความรู้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๒.๑   ความรู้ที่ต้องพัฒนา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🞆</w:t>
        <w:tab/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เข้าใจความรู้พื้นฐานกิจกรรมด้านโลจิสติกส์ ทั้ง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๑๓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กิจกรรมได้</w:t>
      </w:r>
    </w:p>
    <w:p w:rsidR="00000000" w:rsidDel="00000000" w:rsidP="00000000" w:rsidRDefault="00000000" w:rsidRPr="00000000" w14:paraId="00000068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(๒)  สามารถจำแนกและอธิบายความรู้ที่ได้ศึกษาได้อย่างประสิทธิภาพ</w:t>
      </w:r>
    </w:p>
    <w:p w:rsidR="00000000" w:rsidDel="00000000" w:rsidP="00000000" w:rsidRDefault="00000000" w:rsidRPr="00000000" w14:paraId="00000069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มีความรอบรู้ โดยการผสมผสานเนื้อหาในทักษะและรูปแบบการสื่อสาร ในบริบทที่แตกต่าง เพื่อประยุกต์ใช้ในการทำงาน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(๔)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บูรณาการความรู้และความเข้าใจในระบบการทำงานโดยใช้ Lean, Outsource ในห่วงโซ่อุปทาน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๒.๒   วิธีการสอน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เน้นการเรียนการรู้จากการอ่านบทความที่เกี่ยวข้องด้านโลจิสติกส์ เช่น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๓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Pls,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๔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pls,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๕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pls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จัดให้มีการเรียนรู้จากสถานการณ์จริง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จัดกิจกรรมแบบผู้เรียนมีส่วนร่วมและมีการส่งเสริมการเรียนรู้ด้วยตนเอง</w:t>
      </w:r>
    </w:p>
    <w:p w:rsidR="00000000" w:rsidDel="00000000" w:rsidP="00000000" w:rsidRDefault="00000000" w:rsidRPr="00000000" w14:paraId="00000070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(๔)  การสร้างสถานการณ์และส่งเสริมให้มีการแก้ไขปัญหา</w:t>
      </w:r>
    </w:p>
    <w:p w:rsidR="00000000" w:rsidDel="00000000" w:rsidP="00000000" w:rsidRDefault="00000000" w:rsidRPr="00000000" w14:paraId="00000071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๒.๓    วิธีการประเมินผล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สังเกตการณ์แสดงออกด้านพฤติกรรมและแสดงความคิดเห็นในชั้นเรียน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การประเมินการนาเสนอผลงานในชั้นเรียน และการสอบปลายภาคเรียน </w:t>
      </w:r>
    </w:p>
    <w:p w:rsidR="00000000" w:rsidDel="00000000" w:rsidP="00000000" w:rsidRDefault="00000000" w:rsidRPr="00000000" w14:paraId="00000075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ประเมินจากการอภิปรายกลุ่มภายในชั้นเรียนของนักศึกษา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๓.ทักษะทางปัญญา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๓.๑   ทักษะทางปัญญาที่ต้องพัฒนา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นักศึกษาสามารถคิดอย่างเป็นระบบ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🞆</w:t>
        <w:tab/>
        <w:t xml:space="preserve">(๒)  นักศึกษา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สามารถสืบค้นข้อมูลด้านการบริหารงานด้านโลจิสติกส์ระหว่างประเทศ จากแหล่งเรียนรู้ที่หลากหลาย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(๓)  นักศึกษา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สามารถนำความรู้การบริหารจัดการด้านโลจิสติกส์ระหว่างประเทศมาประยุกต์ใช้ในการทำโครงงานได้ </w:t>
      </w:r>
    </w:p>
    <w:p w:rsidR="00000000" w:rsidDel="00000000" w:rsidP="00000000" w:rsidRDefault="00000000" w:rsidRPr="00000000" w14:paraId="0000007C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(๔)  นักศึกษา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สามารถวิเคราะห์และแก้ไขปัญหาในทำงานได้อย่างมีประสิทธิภาพ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๓.๒   วิธีการสอน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มอบหมายกิจกรรมในการสืบค้น/ค้นคว้าด้วยตัวเอง และการเสนอรายงาน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มอบหมายงานให้วิเคราะห์และบูรณาการ หลักการใช้ และการวิเคราะห์บทความที่เกี่ยวข้อง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จัดกิจกรรมให้นักศึกษามีโอกาสเข้าร่วมการวิเคราะห์กรณีศึกษา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๓.๓    วิธีการประเมินผล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การนำเสนอผลงาน ประเมินจากพฤติกรรมการใช้วิเคราะห์และอภิปรายกรณีศึกษา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แบบทดสอบย่อยหลังการเรียน หรือแบบฝึกหัด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ประเมินการนาเสนอผลงาน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(๔)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สอบกลางภาคและปลายภาค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๔. ทักษะความสัมพันธ์ระหว่างบุคคลและความรับผิดชอบ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๔.๑   ทักษะความสัมพันธ์ระหว่างบุคคลและความรับผิดชอบที่ต้องพัฒนา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มีความรับผิดชอบต่อหน้าที่ ที่รับผิดชอบและมีภาวะผู้น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ำ</w:t>
      </w:r>
    </w:p>
    <w:p w:rsidR="00000000" w:rsidDel="00000000" w:rsidP="00000000" w:rsidRDefault="00000000" w:rsidRPr="00000000" w14:paraId="0000008C">
      <w:pPr>
        <w:ind w:left="72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มีมนุษย์สัมพันธ์ที่ดีสามารถสื่อสารกับผู้อื่นได้เป็นอย่างดี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🞆</w:t>
        <w:tab/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สามารถปรับตัว รับฟัง ยอมรับความคิดเห็น และทางานร่วมกับผู้อื่นได้ ทั้งในฐานะผู้นาและสมาชิกของกลุ่ม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(๔)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สามารถริเริ่มสร้างสรรค์ แนวทางที่เป็นประโยชน์ต่อการดำเนินกิจกรรมต่างๆได้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๔.๒   วิธีการสอน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 จัดกิจกรรมกลุ่มในการวิเคราะห์กรณีศึกษา</w:t>
      </w:r>
    </w:p>
    <w:p w:rsidR="00000000" w:rsidDel="00000000" w:rsidP="00000000" w:rsidRDefault="00000000" w:rsidRPr="00000000" w14:paraId="00000092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มอบหมายงานทั้งรายบุคคลและรายกลุ่ม</w:t>
      </w:r>
    </w:p>
    <w:p w:rsidR="00000000" w:rsidDel="00000000" w:rsidP="00000000" w:rsidRDefault="00000000" w:rsidRPr="00000000" w14:paraId="00000093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การนำเสนอผลงาน</w:t>
      </w:r>
    </w:p>
    <w:p w:rsidR="00000000" w:rsidDel="00000000" w:rsidP="00000000" w:rsidRDefault="00000000" w:rsidRPr="00000000" w14:paraId="00000095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๔.๓    วิธีการประเมินผล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สังเกตการแสดงออกด้านพฤติกรรมและการร่วมกิจกรรมกลุ่ม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สังเกตการแสดงออกในฐานะผู้นาและผู้ตาม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สังเกตพฤติกรรมด้านการมีมนุษย์สัมพันธ์ที่ดี </w:t>
      </w:r>
    </w:p>
    <w:p w:rsidR="00000000" w:rsidDel="00000000" w:rsidP="00000000" w:rsidRDefault="00000000" w:rsidRPr="00000000" w14:paraId="0000009A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๕. ทักษะการวิเคราะห์เชิงตัวเลข การสื่อสาร และการใช้เทคโนโลยีสารสนเทศ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๕.๑   ทักษะการวิเคราะห์เชิงตัวเลข การสื่อสาร และการใช้เทคโนโลยีสารสนเทศที่ต้องพัฒนา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(๑)  มีทักษะการใช้ภาษาไทยได้อย่างมีประสิทธิภาพ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⬤</w:t>
        <w:tab/>
        <w:t xml:space="preserve">(๒)  สามารถใช้เทคโนโลยีสารสนเทศในการเก็บรวบรวมข้อมูลและการนำเสนอ </w:t>
      </w:r>
    </w:p>
    <w:p w:rsidR="00000000" w:rsidDel="00000000" w:rsidP="00000000" w:rsidRDefault="00000000" w:rsidRPr="00000000" w14:paraId="0000009F">
      <w:pPr>
        <w:ind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⬤</w:t>
        <w:tab/>
        <w:t xml:space="preserve">(๓)  มีทักษะในการวิเคราะห์ทางตัวเลขในการคำนวณต้นทุนขนส่ง การจัดจ้างภายนอก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และวางแผน</w:t>
      </w:r>
    </w:p>
    <w:p w:rsidR="00000000" w:rsidDel="00000000" w:rsidP="00000000" w:rsidRDefault="00000000" w:rsidRPr="00000000" w14:paraId="000000A0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๕.๒   วิธีการสอน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การฟังบรรยาย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การศึกษาจาก website สื่อการสอน e-learning </w:t>
      </w:r>
    </w:p>
    <w:p w:rsidR="00000000" w:rsidDel="00000000" w:rsidP="00000000" w:rsidRDefault="00000000" w:rsidRPr="00000000" w14:paraId="000000A4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การทำแบบทดสอบ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20" w:firstLine="72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(๔)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การศึกษาค้นคว้าด้วยตนเองเพื่อนำเสนอรายงาน </w:t>
      </w:r>
    </w:p>
    <w:p w:rsidR="00000000" w:rsidDel="00000000" w:rsidP="00000000" w:rsidRDefault="00000000" w:rsidRPr="00000000" w14:paraId="000000A6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๕.๓    วิธีการประเมินผล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ตรวจแบบทดสอบท้ายบทเรียน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ประเมินผลจากรายงานโครงงาน และการอ้างอิงเอกสารที่จัดทำ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โ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ดยการใช้สื่อเทคโนโลยี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72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(๓)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ประเมินทดสอบปลายภาค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หมายเหตุ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1560"/>
          <w:tab w:val="left" w:pos="2410"/>
        </w:tabs>
        <w:ind w:left="284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สัญลักษณ์⬤</w:t>
        <w:tab/>
        <w:t xml:space="preserve">หมายถึง</w:t>
        <w:tab/>
        <w:t xml:space="preserve">ความรับผิดชอบหลัก </w:t>
      </w:r>
    </w:p>
    <w:p w:rsidR="00000000" w:rsidDel="00000000" w:rsidP="00000000" w:rsidRDefault="00000000" w:rsidRPr="00000000" w14:paraId="000000AE">
      <w:pPr>
        <w:tabs>
          <w:tab w:val="left" w:pos="1560"/>
          <w:tab w:val="left" w:pos="2410"/>
        </w:tabs>
        <w:ind w:left="284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สัญลักษณ์ 🞆</w:t>
        <w:tab/>
        <w:t xml:space="preserve">หมายถึง</w:t>
        <w:tab/>
        <w:t xml:space="preserve">ความรับผิดชอบรอง </w:t>
      </w:r>
    </w:p>
    <w:p w:rsidR="00000000" w:rsidDel="00000000" w:rsidP="00000000" w:rsidRDefault="00000000" w:rsidRPr="00000000" w14:paraId="000000AF">
      <w:pPr>
        <w:tabs>
          <w:tab w:val="left" w:pos="1560"/>
          <w:tab w:val="left" w:pos="2410"/>
        </w:tabs>
        <w:ind w:left="284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เว้นว่าง</w:t>
        <w:tab/>
        <w:t xml:space="preserve">หมายถึง</w:t>
        <w:tab/>
        <w:t xml:space="preserve">ไม่ได้รับผิดชอบ</w:t>
      </w:r>
    </w:p>
    <w:p w:rsidR="00000000" w:rsidDel="00000000" w:rsidP="00000000" w:rsidRDefault="00000000" w:rsidRPr="00000000" w14:paraId="000000B0">
      <w:pPr>
        <w:tabs>
          <w:tab w:val="left" w:pos="5418"/>
        </w:tabs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ซึ่งจะปรากฎอยู่ในแผนที่แสดงการกระจายความรับผิดชอบมาตรฐานผลการเรียนรู้จากหลักสูตรสู่รายวิชา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:rsidR="00000000" w:rsidDel="00000000" w:rsidP="00000000" w:rsidRDefault="00000000" w:rsidRPr="00000000" w14:paraId="000000B1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หมวดที่๕แผนการสอนและการประเมินผล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แผนการสอน</w:t>
      </w:r>
      <w:r w:rsidDel="00000000" w:rsidR="00000000" w:rsidRPr="00000000">
        <w:rPr>
          <w:rtl w:val="0"/>
        </w:rPr>
      </w:r>
    </w:p>
    <w:tbl>
      <w:tblPr>
        <w:tblStyle w:val="Table2"/>
        <w:tblW w:w="1102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3945"/>
        <w:gridCol w:w="1110"/>
        <w:gridCol w:w="2925"/>
        <w:gridCol w:w="2055"/>
        <w:tblGridChange w:id="0">
          <w:tblGrid>
            <w:gridCol w:w="990"/>
            <w:gridCol w:w="3945"/>
            <w:gridCol w:w="1110"/>
            <w:gridCol w:w="2925"/>
            <w:gridCol w:w="2055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Sarabun" w:cs="Sarabun" w:eastAsia="Sarabun" w:hAnsi="Sarabun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vertAlign w:val="baseline"/>
                <w:rtl w:val="0"/>
              </w:rPr>
              <w:t xml:space="preserve">สัปดาห์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Sarabun" w:cs="Sarabun" w:eastAsia="Sarabun" w:hAnsi="Sarabun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vertAlign w:val="baseline"/>
                <w:rtl w:val="0"/>
              </w:rPr>
              <w:t xml:space="preserve">ที่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vertAlign w:val="baseline"/>
                <w:rtl w:val="0"/>
              </w:rPr>
              <w:t xml:space="preserve">หัวข้อ/รายละเอียด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vertAlign w:val="baseline"/>
                <w:rtl w:val="0"/>
              </w:rPr>
              <w:t xml:space="preserve">จำนวน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vertAlign w:val="baseline"/>
                <w:rtl w:val="0"/>
              </w:rPr>
              <w:t xml:space="preserve">(ชั่วโมง)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Sarabun" w:cs="Sarabun" w:eastAsia="Sarabun" w:hAnsi="Sarabun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vertAlign w:val="baseline"/>
                <w:rtl w:val="0"/>
              </w:rPr>
              <w:t xml:space="preserve">กิจกรรมการเรียนการสอนและสื่อที่ใช้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Sarabun" w:cs="Sarabun" w:eastAsia="Sarabun" w:hAnsi="Sarabun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vertAlign w:val="baseline"/>
                <w:rtl w:val="0"/>
              </w:rPr>
              <w:t xml:space="preserve">ผู้สอน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ปฐมนิเทศการเรียนการสอนของรายวิชา ภาระงาน และการประเมินผลโดยนักศึกษามีส่วนร่วมในการวางแผน</w:t>
            </w:r>
          </w:p>
          <w:p w:rsidR="00000000" w:rsidDel="00000000" w:rsidP="00000000" w:rsidRDefault="00000000" w:rsidRPr="00000000" w14:paraId="000000BC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ประเมินผลก่อนการเรียนการสอน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แบบร่วมมือ</w:t>
              <w:tab/>
            </w:r>
          </w:p>
          <w:p w:rsidR="00000000" w:rsidDel="00000000" w:rsidP="00000000" w:rsidRDefault="00000000" w:rsidRPr="00000000" w14:paraId="000000BF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</w:r>
          </w:p>
          <w:p w:rsidR="00000000" w:rsidDel="00000000" w:rsidP="00000000" w:rsidRDefault="00000000" w:rsidRPr="00000000" w14:paraId="000000C0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C1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  <w:p w:rsidR="00000000" w:rsidDel="00000000" w:rsidP="00000000" w:rsidRDefault="00000000" w:rsidRPr="00000000" w14:paraId="000000C2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หนังสือ/ตำราเรียน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ความรู้ทั่วไปเกี่ยวกับการจัดการโลจิสติกส์และห่วงโซ่อุปทาน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1"/>
                <w:numId w:val="3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ความหมายของการจัดการโลจิสติกส์และห่วงโซ่อุปทาน</w:t>
            </w:r>
          </w:p>
          <w:p w:rsidR="00000000" w:rsidDel="00000000" w:rsidP="00000000" w:rsidRDefault="00000000" w:rsidRPr="00000000" w14:paraId="000000C7">
            <w:pPr>
              <w:numPr>
                <w:ilvl w:val="1"/>
                <w:numId w:val="3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กระบวนการทำงานของห่วงโซ่ </w:t>
            </w:r>
          </w:p>
          <w:p w:rsidR="00000000" w:rsidDel="00000000" w:rsidP="00000000" w:rsidRDefault="00000000" w:rsidRPr="00000000" w14:paraId="000000C8">
            <w:pPr>
              <w:ind w:left="360" w:firstLine="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อุปทาน</w:t>
            </w:r>
          </w:p>
          <w:p w:rsidR="00000000" w:rsidDel="00000000" w:rsidP="00000000" w:rsidRDefault="00000000" w:rsidRPr="00000000" w14:paraId="000000C9">
            <w:pPr>
              <w:numPr>
                <w:ilvl w:val="1"/>
                <w:numId w:val="2"/>
              </w:numPr>
              <w:ind w:left="390" w:hanging="39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ประโยชน์ในการจัดการโลจิสติกส์ในห่วงโซ่อุปทาน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0CC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แบบอภิปรายกลุ่มย่อย</w:t>
            </w:r>
          </w:p>
          <w:p w:rsidR="00000000" w:rsidDel="00000000" w:rsidP="00000000" w:rsidRDefault="00000000" w:rsidRPr="00000000" w14:paraId="000000CD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CE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0CF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: วิวัฒนาการและการออกแบบด้านโลจิสติกส์และห่วงโซ่อุปทาน ปัจจัยที่มีผลต่อห่วงโซ่อุปทานระดับโลก</w:t>
            </w:r>
          </w:p>
          <w:p w:rsidR="00000000" w:rsidDel="00000000" w:rsidP="00000000" w:rsidRDefault="00000000" w:rsidRPr="00000000" w14:paraId="000000D3">
            <w:pPr>
              <w:numPr>
                <w:ilvl w:val="1"/>
                <w:numId w:val="5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การปฏิบัติงานและการจัดการโลจิสติกส์ (การนำมาประยุกต์ใช้และเป้าหมาย)</w:t>
            </w:r>
          </w:p>
          <w:p w:rsidR="00000000" w:rsidDel="00000000" w:rsidP="00000000" w:rsidRDefault="00000000" w:rsidRPr="00000000" w14:paraId="000000D4">
            <w:pPr>
              <w:numPr>
                <w:ilvl w:val="1"/>
                <w:numId w:val="5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การผสมผสานกระบวนการทำงานในระบบโลจิสติกส์</w:t>
            </w:r>
          </w:p>
          <w:p w:rsidR="00000000" w:rsidDel="00000000" w:rsidP="00000000" w:rsidRDefault="00000000" w:rsidRPr="00000000" w14:paraId="000000D5">
            <w:pPr>
              <w:numPr>
                <w:ilvl w:val="1"/>
                <w:numId w:val="5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ความรู้เบื้องต้นของการปฏิบัติงานและการจัดการโลจิสติกส์ระหว่างประเทศ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0D8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D9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0DA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โครงสร้างกลยุทธ์ในห่วงโซ่อุปทาน</w:t>
            </w:r>
          </w:p>
          <w:p w:rsidR="00000000" w:rsidDel="00000000" w:rsidP="00000000" w:rsidRDefault="00000000" w:rsidRPr="00000000" w14:paraId="000000DE">
            <w:pPr>
              <w:numPr>
                <w:ilvl w:val="1"/>
                <w:numId w:val="7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บทบาทของโลจิสติกส์</w:t>
            </w:r>
          </w:p>
          <w:p w:rsidR="00000000" w:rsidDel="00000000" w:rsidP="00000000" w:rsidRDefault="00000000" w:rsidRPr="00000000" w14:paraId="000000DF">
            <w:pPr>
              <w:numPr>
                <w:ilvl w:val="1"/>
                <w:numId w:val="7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โครงสร้างกลยุทธ์</w:t>
            </w:r>
          </w:p>
          <w:p w:rsidR="00000000" w:rsidDel="00000000" w:rsidP="00000000" w:rsidRDefault="00000000" w:rsidRPr="00000000" w14:paraId="000000E0">
            <w:pPr>
              <w:numPr>
                <w:ilvl w:val="1"/>
                <w:numId w:val="7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คำอธิบายความสามารถในการแข่งขันและการเชื่อมโยงต่อการจัดการโลจิสติกส์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เน้นกระบวนการ</w:t>
              <w:tab/>
            </w:r>
          </w:p>
          <w:p w:rsidR="00000000" w:rsidDel="00000000" w:rsidP="00000000" w:rsidRDefault="00000000" w:rsidRPr="00000000" w14:paraId="000000E3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0E4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E5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: กลยุทธ์การปฏิบัติงาน โครงสร้างและการขับเคลื่อนการทำงานสู่ระดับประเทศ</w:t>
            </w:r>
          </w:p>
          <w:p w:rsidR="00000000" w:rsidDel="00000000" w:rsidP="00000000" w:rsidRDefault="00000000" w:rsidRPr="00000000" w14:paraId="000000E9">
            <w:pPr>
              <w:numPr>
                <w:ilvl w:val="1"/>
                <w:numId w:val="8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อิทธิพลของตลาดระหว่างประเทศ</w:t>
            </w:r>
          </w:p>
          <w:p w:rsidR="00000000" w:rsidDel="00000000" w:rsidP="00000000" w:rsidRDefault="00000000" w:rsidRPr="00000000" w14:paraId="000000EA">
            <w:pPr>
              <w:numPr>
                <w:ilvl w:val="1"/>
                <w:numId w:val="8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อิทธิพลทางด้านเทคโนโลยีสารสนเทศ</w:t>
            </w:r>
          </w:p>
          <w:p w:rsidR="00000000" w:rsidDel="00000000" w:rsidP="00000000" w:rsidRDefault="00000000" w:rsidRPr="00000000" w14:paraId="000000EB">
            <w:pPr>
              <w:numPr>
                <w:ilvl w:val="1"/>
                <w:numId w:val="8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อิทธิพลทางการเมืองและเศรษฐกิจมหภาค</w:t>
            </w:r>
          </w:p>
          <w:p w:rsidR="00000000" w:rsidDel="00000000" w:rsidP="00000000" w:rsidRDefault="00000000" w:rsidRPr="00000000" w14:paraId="000000EC">
            <w:pPr>
              <w:numPr>
                <w:ilvl w:val="1"/>
                <w:numId w:val="8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โอกาสและความเป็นไปได้ในอนาคต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เน้นกระบวนการ</w:t>
              <w:tab/>
            </w:r>
          </w:p>
          <w:p w:rsidR="00000000" w:rsidDel="00000000" w:rsidP="00000000" w:rsidRDefault="00000000" w:rsidRPr="00000000" w14:paraId="000000EF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0F0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  <w:p w:rsidR="00000000" w:rsidDel="00000000" w:rsidP="00000000" w:rsidRDefault="00000000" w:rsidRPr="00000000" w14:paraId="000000F1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กลยุทธ์การตลาด การตลาดและพฤติกรรมของลูกค้าในแต่ละประเทศ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1"/>
                <w:numId w:val="9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การตลาดระดับท้องถิ่นและการตลาดระหว่างประเทศ</w:t>
            </w:r>
          </w:p>
          <w:p w:rsidR="00000000" w:rsidDel="00000000" w:rsidP="00000000" w:rsidRDefault="00000000" w:rsidRPr="00000000" w14:paraId="000000F6">
            <w:pPr>
              <w:numPr>
                <w:ilvl w:val="1"/>
                <w:numId w:val="9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การผสมผสานการปฏิบัติงานและการจัดการโลจิสติกส์ต่อการผลิตสินค้าระหว่างประเทศ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0F9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แบบอภิปราย</w:t>
            </w:r>
          </w:p>
          <w:p w:rsidR="00000000" w:rsidDel="00000000" w:rsidP="00000000" w:rsidRDefault="00000000" w:rsidRPr="00000000" w14:paraId="000000FA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0FB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๖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: การพัฒนาเครือข่ายผู้จัดซื้อ</w:t>
            </w:r>
          </w:p>
          <w:p w:rsidR="00000000" w:rsidDel="00000000" w:rsidP="00000000" w:rsidRDefault="00000000" w:rsidRPr="00000000" w14:paraId="000000FF">
            <w:pPr>
              <w:numPr>
                <w:ilvl w:val="1"/>
                <w:numId w:val="10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แนวโน้มและการเติบโตของการใช้ outsourcing</w:t>
            </w:r>
          </w:p>
          <w:p w:rsidR="00000000" w:rsidDel="00000000" w:rsidP="00000000" w:rsidRDefault="00000000" w:rsidRPr="00000000" w14:paraId="00000100">
            <w:pPr>
              <w:numPr>
                <w:ilvl w:val="1"/>
                <w:numId w:val="10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วิวัฒนาการของ outsourcing</w:t>
            </w:r>
          </w:p>
          <w:p w:rsidR="00000000" w:rsidDel="00000000" w:rsidP="00000000" w:rsidRDefault="00000000" w:rsidRPr="00000000" w14:paraId="00000101">
            <w:pPr>
              <w:numPr>
                <w:ilvl w:val="1"/>
                <w:numId w:val="10"/>
              </w:numPr>
              <w:ind w:left="360" w:hanging="360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โครงสร้างในการวิเคราะห์การเลือกใช้ outsourcing ได้อย่างมีประสิทธิภาพ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104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105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๗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:  การประยุกต์ใช้กลยุทธ์ทางด้าน outsourcing </w:t>
            </w:r>
          </w:p>
          <w:p w:rsidR="00000000" w:rsidDel="00000000" w:rsidP="00000000" w:rsidRDefault="00000000" w:rsidRPr="00000000" w14:paraId="00000109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10C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แบบอภิปราย</w:t>
            </w:r>
          </w:p>
          <w:p w:rsidR="00000000" w:rsidDel="00000000" w:rsidP="00000000" w:rsidRDefault="00000000" w:rsidRPr="00000000" w14:paraId="0000010D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10E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การศึกษานอกสถานที่</w:t>
            </w:r>
          </w:p>
          <w:p w:rsidR="00000000" w:rsidDel="00000000" w:rsidP="00000000" w:rsidRDefault="00000000" w:rsidRPr="00000000" w14:paraId="0000010F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shd w:fill="bcbcbc" w:val="clear"/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cbcbc" w:val="clear"/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สอบกลางภาค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๘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ระบบสารสนเทศ</w:t>
            </w:r>
          </w:p>
          <w:p w:rsidR="00000000" w:rsidDel="00000000" w:rsidP="00000000" w:rsidRDefault="00000000" w:rsidRPr="00000000" w14:paraId="00000118">
            <w:pPr>
              <w:numPr>
                <w:ilvl w:val="1"/>
                <w:numId w:val="12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ความหมายและกระบวนการทำงานของ MRP I, MRP II </w:t>
            </w:r>
          </w:p>
          <w:p w:rsidR="00000000" w:rsidDel="00000000" w:rsidP="00000000" w:rsidRDefault="00000000" w:rsidRPr="00000000" w14:paraId="00000119">
            <w:pPr>
              <w:numPr>
                <w:ilvl w:val="1"/>
                <w:numId w:val="12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กระบวนการทำงานในระบบ ERP ของบริษัทชั้นนำ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11C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กระบวนการกลุ่ม</w:t>
            </w:r>
          </w:p>
          <w:p w:rsidR="00000000" w:rsidDel="00000000" w:rsidP="00000000" w:rsidRDefault="00000000" w:rsidRPr="00000000" w14:paraId="0000011D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การสาธิต</w:t>
            </w:r>
          </w:p>
          <w:p w:rsidR="00000000" w:rsidDel="00000000" w:rsidP="00000000" w:rsidRDefault="00000000" w:rsidRPr="00000000" w14:paraId="0000011E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11F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๙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การจัดการช่องทางการจัดจำหน่าย</w:t>
            </w:r>
          </w:p>
          <w:p w:rsidR="00000000" w:rsidDel="00000000" w:rsidP="00000000" w:rsidRDefault="00000000" w:rsidRPr="00000000" w14:paraId="00000123">
            <w:pPr>
              <w:numPr>
                <w:ilvl w:val="1"/>
                <w:numId w:val="13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ความสำคัญ/ประโยชน์ของช่องทางการจัดจำหน่าย</w:t>
            </w:r>
          </w:p>
          <w:p w:rsidR="00000000" w:rsidDel="00000000" w:rsidP="00000000" w:rsidRDefault="00000000" w:rsidRPr="00000000" w14:paraId="00000124">
            <w:pPr>
              <w:numPr>
                <w:ilvl w:val="1"/>
                <w:numId w:val="13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แนวโน้มการจัดส่งสินค้า</w:t>
            </w:r>
          </w:p>
          <w:p w:rsidR="00000000" w:rsidDel="00000000" w:rsidP="00000000" w:rsidRDefault="00000000" w:rsidRPr="00000000" w14:paraId="00000125">
            <w:pPr>
              <w:numPr>
                <w:ilvl w:val="1"/>
                <w:numId w:val="13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การวางระบบเครือข่ายการจัดส่งสินค้าระหว่างประเทศ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แบบเกม</w:t>
              <w:tab/>
            </w:r>
          </w:p>
          <w:p w:rsidR="00000000" w:rsidDel="00000000" w:rsidP="00000000" w:rsidRDefault="00000000" w:rsidRPr="00000000" w14:paraId="00000128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</w:r>
          </w:p>
          <w:p w:rsidR="00000000" w:rsidDel="00000000" w:rsidP="00000000" w:rsidRDefault="00000000" w:rsidRPr="00000000" w14:paraId="00000129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แสดงบทบาทสมมติ</w:t>
            </w:r>
          </w:p>
          <w:p w:rsidR="00000000" w:rsidDel="00000000" w:rsidP="00000000" w:rsidRDefault="00000000" w:rsidRPr="00000000" w14:paraId="0000012A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๑๐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การจัดการห่วงโซ่อุปทานระหว่างประเทศ</w:t>
            </w:r>
          </w:p>
          <w:p w:rsidR="00000000" w:rsidDel="00000000" w:rsidP="00000000" w:rsidRDefault="00000000" w:rsidRPr="00000000" w14:paraId="0000012E">
            <w:pPr>
              <w:numPr>
                <w:ilvl w:val="1"/>
                <w:numId w:val="14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ความไม่แน่นอนของอุปสงค์</w:t>
            </w:r>
          </w:p>
          <w:p w:rsidR="00000000" w:rsidDel="00000000" w:rsidP="00000000" w:rsidRDefault="00000000" w:rsidRPr="00000000" w14:paraId="0000012F">
            <w:pPr>
              <w:numPr>
                <w:ilvl w:val="1"/>
                <w:numId w:val="14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Bullwhip effect</w:t>
            </w:r>
          </w:p>
          <w:p w:rsidR="00000000" w:rsidDel="00000000" w:rsidP="00000000" w:rsidRDefault="00000000" w:rsidRPr="00000000" w14:paraId="00000130">
            <w:pPr>
              <w:numPr>
                <w:ilvl w:val="1"/>
                <w:numId w:val="14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กระบวนการทำงานในแนวดิ่งของห่วงโซ่อุปทานระหว่างประเทศ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133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แบบสถานการณ์จำลอง</w:t>
            </w:r>
          </w:p>
          <w:p w:rsidR="00000000" w:rsidDel="00000000" w:rsidP="00000000" w:rsidRDefault="00000000" w:rsidRPr="00000000" w14:paraId="00000134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135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๑๑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การออกแบบโลจิสติกส์ระหว่างประเทศ</w:t>
            </w:r>
          </w:p>
          <w:p w:rsidR="00000000" w:rsidDel="00000000" w:rsidP="00000000" w:rsidRDefault="00000000" w:rsidRPr="00000000" w14:paraId="00000139">
            <w:pPr>
              <w:numPr>
                <w:ilvl w:val="1"/>
                <w:numId w:val="1"/>
              </w:numPr>
              <w:ind w:left="360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ศึกษาพื้นฐานของสิ่งอำนวยความสะดวก/โรงงานจาก การตลาด ตัวผลิตภัณฑ์และกระบวนการทำงานขององค์กร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13C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แบบสถานการณ์จำลอง</w:t>
            </w:r>
          </w:p>
          <w:p w:rsidR="00000000" w:rsidDel="00000000" w:rsidP="00000000" w:rsidRDefault="00000000" w:rsidRPr="00000000" w14:paraId="0000013D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13E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13F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หัวข้อที่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๑๒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: การออกแบบโลจิสติกส์</w:t>
            </w:r>
          </w:p>
          <w:p w:rsidR="00000000" w:rsidDel="00000000" w:rsidP="00000000" w:rsidRDefault="00000000" w:rsidRPr="00000000" w14:paraId="00000143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๑๒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 การพัฒนาและขยายกิจการและผลิตภัณฑ์</w:t>
            </w:r>
          </w:p>
          <w:p w:rsidR="00000000" w:rsidDel="00000000" w:rsidP="00000000" w:rsidRDefault="00000000" w:rsidRPr="00000000" w14:paraId="00000144">
            <w:pPr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๑๒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การเลือกทำเลที่ตั้งโดยการคำนวณทางคณิตศาสตร์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เน้นกระบวนการ</w:t>
              <w:tab/>
            </w:r>
          </w:p>
          <w:p w:rsidR="00000000" w:rsidDel="00000000" w:rsidP="00000000" w:rsidRDefault="00000000" w:rsidRPr="00000000" w14:paraId="00000147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</w:r>
          </w:p>
          <w:p w:rsidR="00000000" w:rsidDel="00000000" w:rsidP="00000000" w:rsidRDefault="00000000" w:rsidRPr="00000000" w14:paraId="00000148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149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14A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หัวข้อที่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๑๓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 push-pull system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ความหมายและ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ะบบการทำงานของ push system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ความหมายและระบบการทำงานของ pull system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ความหมายและระบบการทำงานของ push-pull system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แบบสถานการณ์จำลอง</w:t>
              <w:tab/>
            </w:r>
          </w:p>
          <w:p w:rsidR="00000000" w:rsidDel="00000000" w:rsidP="00000000" w:rsidRDefault="00000000" w:rsidRPr="00000000" w14:paraId="00000153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เน้นกระบวนการ</w:t>
            </w:r>
          </w:p>
          <w:p w:rsidR="00000000" w:rsidDel="00000000" w:rsidP="00000000" w:rsidRDefault="00000000" w:rsidRPr="00000000" w14:paraId="00000154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155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หัวข้อที่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๑๔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: ข้อตกลงทางการค้าและมาตรฐานคุณภาพระหว่างประเทศ</w:t>
            </w:r>
          </w:p>
          <w:p w:rsidR="00000000" w:rsidDel="00000000" w:rsidP="00000000" w:rsidRDefault="00000000" w:rsidRPr="00000000" w14:paraId="00000159">
            <w:pPr>
              <w:numPr>
                <w:ilvl w:val="1"/>
                <w:numId w:val="6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คำอธิบาย Free Trade Agreement</w:t>
            </w:r>
          </w:p>
          <w:p w:rsidR="00000000" w:rsidDel="00000000" w:rsidP="00000000" w:rsidRDefault="00000000" w:rsidRPr="00000000" w14:paraId="0000015A">
            <w:pPr>
              <w:numPr>
                <w:ilvl w:val="1"/>
                <w:numId w:val="6"/>
              </w:numPr>
              <w:ind w:left="360" w:hanging="360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ระบบมาตรฐาน เช่น ISO และ TQM</w:t>
            </w:r>
          </w:p>
          <w:p w:rsidR="00000000" w:rsidDel="00000000" w:rsidP="00000000" w:rsidRDefault="00000000" w:rsidRPr="00000000" w14:paraId="0000015B">
            <w:pPr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แบบบรรยาย</w:t>
              <w:tab/>
            </w:r>
          </w:p>
          <w:p w:rsidR="00000000" w:rsidDel="00000000" w:rsidP="00000000" w:rsidRDefault="00000000" w:rsidRPr="00000000" w14:paraId="0000015E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แสดงบทบาทสมมติ</w:t>
            </w:r>
          </w:p>
          <w:p w:rsidR="00000000" w:rsidDel="00000000" w:rsidP="00000000" w:rsidRDefault="00000000" w:rsidRPr="00000000" w14:paraId="0000015F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กรณีศึกษา</w:t>
            </w:r>
          </w:p>
          <w:p w:rsidR="00000000" w:rsidDel="00000000" w:rsidP="00000000" w:rsidRDefault="00000000" w:rsidRPr="00000000" w14:paraId="00000160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161">
            <w:pPr>
              <w:tabs>
                <w:tab w:val="right" w:pos="2314"/>
              </w:tabs>
              <w:jc w:val="both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เอกสารประกอบการสอน และใบงาน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ดร.ปกครอง มณีโรจน์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bcbcbc" w:val="clear"/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๑๗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cbcbc" w:val="clear"/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สอบปลายภาค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 แผนการประเมินผลการเรียนรู้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Sarabun" w:cs="Sarabun" w:eastAsia="Sarabun" w:hAnsi="Sarabun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8"/>
        <w:gridCol w:w="1439"/>
        <w:gridCol w:w="3912"/>
        <w:gridCol w:w="1468"/>
        <w:gridCol w:w="2198"/>
        <w:tblGridChange w:id="0">
          <w:tblGrid>
            <w:gridCol w:w="1438"/>
            <w:gridCol w:w="1439"/>
            <w:gridCol w:w="3912"/>
            <w:gridCol w:w="1468"/>
            <w:gridCol w:w="21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ผลการเรียนรู้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วีธีการประเมินผลการเรียนรู้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สัปดาห์ที่ประเมิน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สัดส่วน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vertAlign w:val="baseline"/>
                <w:rtl w:val="0"/>
              </w:rPr>
              <w:t xml:space="preserve">ของการประเมินผล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๘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กิจกรรมเข้าชั้นเรียนและในชั้นเรียน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ตลอดภาค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การศึกษา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๑๐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%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๘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โครงงานกลุ่ม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ตามแบบฟอร์มที่กำหนด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๑๖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๓๐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%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๗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กิจกรรมแบบฝึกประจำหน่วย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ตลอดภาคการศึกษา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๓๐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%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๘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การสอบปลายภาค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๑๗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๓๐</w:t>
            </w:r>
            <w:r w:rsidDel="00000000" w:rsidR="00000000" w:rsidRPr="00000000">
              <w:rPr>
                <w:rFonts w:ascii="Sarabun" w:cs="Sarabun" w:eastAsia="Sarabun" w:hAnsi="Sarabun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% </w:t>
            </w:r>
          </w:p>
        </w:tc>
      </w:tr>
    </w:tbl>
    <w:p w:rsidR="00000000" w:rsidDel="00000000" w:rsidP="00000000" w:rsidRDefault="00000000" w:rsidRPr="00000000" w14:paraId="00000191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หมวดที่๖ทรัพยากรประกอบการเรียนการสอน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 ตำราและเอกสารหลัก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firstLine="720"/>
        <w:rPr>
          <w:rFonts w:ascii="Sarabun" w:cs="Sarabun" w:eastAsia="Sarabun" w:hAnsi="Sarabun"/>
          <w:color w:val="0d0d0d"/>
          <w:sz w:val="32"/>
          <w:szCs w:val="32"/>
          <w:vertAlign w:val="baseline"/>
        </w:rPr>
      </w:pPr>
      <w:hyperlink r:id="rId9">
        <w:r w:rsidDel="00000000" w:rsidR="00000000" w:rsidRPr="00000000">
          <w:rPr>
            <w:rFonts w:ascii="Sarabun" w:cs="Sarabun" w:eastAsia="Sarabun" w:hAnsi="Sarabun"/>
            <w:color w:val="0d0d0d"/>
            <w:sz w:val="32"/>
            <w:szCs w:val="32"/>
            <w:u w:val="single"/>
            <w:vertAlign w:val="baseline"/>
            <w:rtl w:val="0"/>
          </w:rPr>
          <w:t xml:space="preserve">Lalwani</w:t>
        </w:r>
      </w:hyperlink>
      <w:r w:rsidDel="00000000" w:rsidR="00000000" w:rsidRPr="00000000">
        <w:rPr>
          <w:rFonts w:ascii="Sarabun" w:cs="Sarabun" w:eastAsia="Sarabun" w:hAnsi="Sarabun"/>
          <w:i w:val="1"/>
          <w:color w:val="0d0d0d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i w:val="0"/>
          <w:color w:val="0d0d0d"/>
          <w:sz w:val="32"/>
          <w:szCs w:val="32"/>
          <w:vertAlign w:val="baseline"/>
          <w:rtl w:val="0"/>
        </w:rPr>
        <w:t xml:space="preserve">C., </w:t>
      </w:r>
      <w:hyperlink r:id="rId10">
        <w:r w:rsidDel="00000000" w:rsidR="00000000" w:rsidRPr="00000000">
          <w:rPr>
            <w:rFonts w:ascii="Sarabun" w:cs="Sarabun" w:eastAsia="Sarabun" w:hAnsi="Sarabun"/>
            <w:i w:val="1"/>
            <w:color w:val="0d0d0d"/>
            <w:sz w:val="32"/>
            <w:szCs w:val="32"/>
            <w:u w:val="single"/>
            <w:vertAlign w:val="baseline"/>
            <w:rtl w:val="0"/>
          </w:rPr>
          <w:t xml:space="preserve">Mangan</w:t>
        </w:r>
      </w:hyperlink>
      <w:r w:rsidDel="00000000" w:rsidR="00000000" w:rsidRPr="00000000">
        <w:rPr>
          <w:rFonts w:ascii="Sarabun" w:cs="Sarabun" w:eastAsia="Sarabun" w:hAnsi="Sarabun"/>
          <w:i w:val="0"/>
          <w:color w:val="0d0d0d"/>
          <w:sz w:val="32"/>
          <w:szCs w:val="32"/>
          <w:vertAlign w:val="baseline"/>
          <w:rtl w:val="0"/>
        </w:rPr>
        <w:t xml:space="preserve"> J. and </w:t>
      </w:r>
      <w:hyperlink r:id="rId11">
        <w:r w:rsidDel="00000000" w:rsidR="00000000" w:rsidRPr="00000000">
          <w:rPr>
            <w:rFonts w:ascii="Sarabun" w:cs="Sarabun" w:eastAsia="Sarabun" w:hAnsi="Sarabun"/>
            <w:color w:val="0d0d0d"/>
            <w:sz w:val="32"/>
            <w:szCs w:val="32"/>
            <w:u w:val="single"/>
            <w:vertAlign w:val="baseline"/>
            <w:rtl w:val="0"/>
          </w:rPr>
          <w:t xml:space="preserve">Butcher</w:t>
        </w:r>
      </w:hyperlink>
      <w:r w:rsidDel="00000000" w:rsidR="00000000" w:rsidRPr="00000000">
        <w:rPr>
          <w:rFonts w:ascii="Sarabun" w:cs="Sarabun" w:eastAsia="Sarabun" w:hAnsi="Sarabun"/>
          <w:i w:val="1"/>
          <w:color w:val="0d0d0d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i w:val="0"/>
          <w:color w:val="0d0d0d"/>
          <w:sz w:val="32"/>
          <w:szCs w:val="32"/>
          <w:vertAlign w:val="baseline"/>
          <w:rtl w:val="0"/>
        </w:rPr>
        <w:t xml:space="preserve">T. (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๒๐๐๘</w:t>
      </w:r>
      <w:r w:rsidDel="00000000" w:rsidR="00000000" w:rsidRPr="00000000">
        <w:rPr>
          <w:rFonts w:ascii="Sarabun" w:cs="Sarabun" w:eastAsia="Sarabun" w:hAnsi="Sarabun"/>
          <w:i w:val="0"/>
          <w:color w:val="0d0d0d"/>
          <w:sz w:val="32"/>
          <w:szCs w:val="32"/>
          <w:vertAlign w:val="baseline"/>
          <w:rtl w:val="0"/>
        </w:rPr>
        <w:t xml:space="preserve">).</w:t>
      </w:r>
      <w:r w:rsidDel="00000000" w:rsidR="00000000" w:rsidRPr="00000000">
        <w:rPr>
          <w:rFonts w:ascii="Sarabun" w:cs="Sarabun" w:eastAsia="Sarabun" w:hAnsi="Sarabun"/>
          <w:i w:val="1"/>
          <w:color w:val="0d0d0d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color w:val="0d0d0d"/>
          <w:sz w:val="32"/>
          <w:szCs w:val="32"/>
          <w:vertAlign w:val="baseline"/>
          <w:rtl w:val="0"/>
        </w:rPr>
        <w:t xml:space="preserve">Global Logistics and supply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Sarabun" w:cs="Sarabun" w:eastAsia="Sarabun" w:hAnsi="Sarabun"/>
          <w:color w:val="0d0d0d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d0d0d"/>
          <w:sz w:val="32"/>
          <w:szCs w:val="32"/>
          <w:vertAlign w:val="baseline"/>
          <w:rtl w:val="0"/>
        </w:rPr>
        <w:t xml:space="preserve">chain management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vertAlign w:val="baseline"/>
          <w:rtl w:val="0"/>
        </w:rPr>
        <w:t xml:space="preserve">. Singapore: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John Wiley &amp; Sons, Incorporated 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6">
      <w:pPr>
        <w:ind w:firstLine="720"/>
        <w:rPr>
          <w:rFonts w:ascii="Sarabun" w:cs="Sarabun" w:eastAsia="Sarabun" w:hAnsi="Sarabun"/>
          <w:color w:val="0d0d0d"/>
          <w:sz w:val="32"/>
          <w:szCs w:val="32"/>
          <w:vertAlign w:val="baseline"/>
        </w:rPr>
      </w:pPr>
      <w:hyperlink r:id="rId12">
        <w:r w:rsidDel="00000000" w:rsidR="00000000" w:rsidRPr="00000000">
          <w:rPr>
            <w:rFonts w:ascii="Sarabun" w:cs="Sarabun" w:eastAsia="Sarabun" w:hAnsi="Sarabun"/>
            <w:color w:val="0d0d0d"/>
            <w:sz w:val="32"/>
            <w:szCs w:val="32"/>
            <w:u w:val="single"/>
            <w:vertAlign w:val="baseline"/>
            <w:rtl w:val="0"/>
          </w:rPr>
          <w:t xml:space="preserve">Ernst</w:t>
        </w:r>
      </w:hyperlink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vertAlign w:val="baseline"/>
          <w:rtl w:val="0"/>
        </w:rPr>
        <w:t xml:space="preserve"> R., </w:t>
      </w:r>
      <w:hyperlink r:id="rId13">
        <w:r w:rsidDel="00000000" w:rsidR="00000000" w:rsidRPr="00000000">
          <w:rPr>
            <w:rFonts w:ascii="Sarabun" w:cs="Sarabun" w:eastAsia="Sarabun" w:hAnsi="Sarabun"/>
            <w:color w:val="0d0d0d"/>
            <w:sz w:val="32"/>
            <w:szCs w:val="32"/>
            <w:u w:val="single"/>
            <w:vertAlign w:val="baseline"/>
            <w:rtl w:val="0"/>
          </w:rPr>
          <w:t xml:space="preserve">Kouvelis</w:t>
        </w:r>
      </w:hyperlink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vertAlign w:val="baseline"/>
          <w:rtl w:val="0"/>
        </w:rPr>
        <w:t xml:space="preserve"> P., </w:t>
      </w:r>
      <w:hyperlink r:id="rId14">
        <w:r w:rsidDel="00000000" w:rsidR="00000000" w:rsidRPr="00000000">
          <w:rPr>
            <w:rFonts w:ascii="Sarabun" w:cs="Sarabun" w:eastAsia="Sarabun" w:hAnsi="Sarabun"/>
            <w:color w:val="0d0d0d"/>
            <w:sz w:val="32"/>
            <w:szCs w:val="32"/>
            <w:u w:val="single"/>
            <w:vertAlign w:val="baseline"/>
            <w:rtl w:val="0"/>
          </w:rPr>
          <w:t xml:space="preserve">Fender</w:t>
        </w:r>
      </w:hyperlink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vertAlign w:val="baseline"/>
          <w:rtl w:val="0"/>
        </w:rPr>
        <w:t xml:space="preserve"> M. (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๑๙๙๘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vertAlign w:val="baseline"/>
          <w:rtl w:val="0"/>
        </w:rPr>
        <w:t xml:space="preserve">).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Global Operations and Logistics: Text and Cases. (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๒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nd ed.) NYC: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John Wiley &amp; Sons Inc (sea) Pte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๒.เอกสารและข้อมูลสำคัญ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คำนาย  อภิปรัชญาสกุล. โลจิสติกส์และการจัดการซัพพลายเชน. (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๒๕๔๖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) พิมพ์ครั้งที่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๑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. กรุงเทพฯ: บริษัท โฟกัส มีเดีย แอนด์ พับลิชชิ่ง จำกัด.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 เอกสารและข้อมูลแนะนำ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www.fta.org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หมวดที่๗ การประเมินและปรับปรุงการดำเนินการของรายวิชา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 กลยุทธ์การประเมินประสิทธิผลของรายวิชาโดยนักศึกษา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pos="284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นักศึกษาทุกคนประเมินประสิทธิผลของรายวิชา ทั้งวิธีการสอน การจัดกิจกรรมในชั้นเรียน สื่อการสอน และผลการเรียนรู้ที่ได้รับ ตลอดจนเสนอแนะเพื่อการปรับปรุงรายวิชา ด้วยระบบคอมพิวเตอร์ของมหาวิทยาลัย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2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Sarabun" w:cs="Sarabun" w:eastAsia="Sarabun" w:hAnsi="Sarabun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 กลยุทธ์การประเมินการสอน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pos="284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การเก็บข้อมูลเพื่อการประเมินการสอน ได้แก่ จากผลสัมฤทธิ์ทางการเรียนรู้ของนักศึกษาและการทวนสอบผลประเมินการเรียนรู้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tabs>
          <w:tab w:val="left" w:pos="284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๓. การปรับปรุงการสอน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Sarabun" w:cs="Sarabun" w:eastAsia="Sarabun" w:hAnsi="Sarabun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left" w:pos="284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ผู้ประสานงานรายวิชา และคณาจารย์ผู้สอนร่วมกันระดมสมองกำหนดกลยุทธ์วิธีการสอน จากผลการประเมินประสิทธิผลของรายวิชา สรุปภาพรวมปัญหา และอุปสรรคจากมคอ.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๕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เพื่อหาแนวทางในการแก้ปัญหาร่วมกัน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left" w:pos="284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๔. การทวนสอบมาตรฐานผลสัมฤทธิ์ของนักศึกษาในรายวิชา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Sarabun" w:cs="Sarabun" w:eastAsia="Sarabun" w:hAnsi="Sarabun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Sarabun" w:cs="Sarabun" w:eastAsia="Sarabun" w:hAnsi="Sarabun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      มาตรฐานผลการเรียนรู้แต่ละด้าน)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ผู้ประสานงานรายวิชา และคณาจารย์ผู้สอนมีการจัดการประชุมร่วมกันทวนสอบผลสัมฤทธิ์ของนักศึกษาในรายวิชาโดยการสุ่มประเมินข้อสอบและความเหมาะสมของการให้คะแนน ทั้งคะแนนดิบและระดับคะแนนของรายวิชา </w:t>
      </w:r>
    </w:p>
    <w:p w:rsidR="00000000" w:rsidDel="00000000" w:rsidP="00000000" w:rsidRDefault="00000000" w:rsidRPr="00000000" w14:paraId="000001B1">
      <w:pPr>
        <w:tabs>
          <w:tab w:val="left" w:pos="284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-ตั้งคณะกรรมการประจาสาขาวิชา ตรวจสอบผลการประเมินการเรียนรู้ตามที่กาหนดในรายวิชา คะแนนและเกณฑ์การตัดสินผลการเรียน</w:t>
      </w:r>
    </w:p>
    <w:p w:rsidR="00000000" w:rsidDel="00000000" w:rsidP="00000000" w:rsidRDefault="00000000" w:rsidRPr="00000000" w14:paraId="000001B2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๕. การดำเนินการทบทวนและการวางแผนปรับปรุงประสิทธิผลของรายวิชา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rFonts w:ascii="Sarabun" w:cs="Sarabun" w:eastAsia="Sarabun" w:hAnsi="Sarabun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i w:val="1"/>
          <w:sz w:val="32"/>
          <w:szCs w:val="32"/>
          <w:vertAlign w:val="baseline"/>
          <w:rtl w:val="0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 ผู้ประสานงานรายวิชาจัดประชุมคณาจารย์ผู้สอนก่อนเปิดภาคเรียน เพื่อให้การจัดการเรียนการสอนเป็นไปในทิศทางที่เหมาะสม </w:t>
      </w:r>
    </w:p>
    <w:p w:rsidR="00000000" w:rsidDel="00000000" w:rsidP="00000000" w:rsidRDefault="00000000" w:rsidRPr="00000000" w14:paraId="000001B6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 ผลิตสื่อการสอนเพื่อเป็นทรัพยากรร่วมในการจัดการเรียนการสอน </w:t>
      </w:r>
    </w:p>
    <w:p w:rsidR="00000000" w:rsidDel="00000000" w:rsidP="00000000" w:rsidRDefault="00000000" w:rsidRPr="00000000" w14:paraId="000001B7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 แจกปฏิทินวิชาการวิให้กับหัวหน้าตอนเรียนทุกตอนเรียน </w:t>
      </w:r>
    </w:p>
    <w:p w:rsidR="00000000" w:rsidDel="00000000" w:rsidP="00000000" w:rsidRDefault="00000000" w:rsidRPr="00000000" w14:paraId="000001B8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 นาข้อมูลที่ได้จากการประเมินจากข้อ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๑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และข้อ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๒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มาวางแผนเพื่อปรับปรุงคุณภาพการจัดการเรียนการสอนรายวิชา ดังนี้ </w:t>
      </w:r>
    </w:p>
    <w:p w:rsidR="00000000" w:rsidDel="00000000" w:rsidP="00000000" w:rsidRDefault="00000000" w:rsidRPr="00000000" w14:paraId="000001B9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-ปรับปรุงแผนการสอนทุกปีการศึกษา </w:t>
      </w:r>
    </w:p>
    <w:p w:rsidR="00000000" w:rsidDel="00000000" w:rsidP="00000000" w:rsidRDefault="00000000" w:rsidRPr="00000000" w14:paraId="000001BA">
      <w:pPr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-ปรับปรุงรายวิชาทุก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๔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ปี </w:t>
      </w:r>
    </w:p>
    <w:p w:rsidR="00000000" w:rsidDel="00000000" w:rsidP="00000000" w:rsidRDefault="00000000" w:rsidRPr="00000000" w14:paraId="000001BB">
      <w:pPr>
        <w:tabs>
          <w:tab w:val="left" w:pos="284"/>
        </w:tabs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-ปรับปรุงแนวการสอนทุกปี</w:t>
      </w:r>
    </w:p>
    <w:p w:rsidR="00000000" w:rsidDel="00000000" w:rsidP="00000000" w:rsidRDefault="00000000" w:rsidRPr="00000000" w14:paraId="000001BC">
      <w:pPr>
        <w:tabs>
          <w:tab w:val="left" w:pos="5418"/>
        </w:tabs>
        <w:rPr>
          <w:rFonts w:ascii="Sarabun" w:cs="Sarabun" w:eastAsia="Sarabun" w:hAnsi="Sarabun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left" w:pos="5418"/>
        </w:tabs>
        <w:jc w:val="center"/>
        <w:rPr>
          <w:rFonts w:ascii="Sarabun" w:cs="Sarabun" w:eastAsia="Sarabun" w:hAnsi="Sarabun"/>
          <w:sz w:val="32"/>
          <w:szCs w:val="32"/>
          <w:vertAlign w:val="baseline"/>
        </w:rPr>
        <w:sectPr>
          <w:headerReference r:id="rId15" w:type="default"/>
          <w:headerReference r:id="rId16" w:type="first"/>
          <w:headerReference r:id="rId17" w:type="even"/>
          <w:footerReference r:id="rId18" w:type="default"/>
          <w:footerReference r:id="rId19" w:type="first"/>
          <w:footerReference r:id="rId20" w:type="even"/>
          <w:pgSz w:h="15840" w:w="12240" w:orient="portrait"/>
          <w:pgMar w:bottom="539" w:top="902" w:left="1077" w:right="924" w:header="425" w:footer="198"/>
          <w:pgNumType w:start="1"/>
        </w:sect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left" w:pos="5418"/>
        </w:tabs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แผนที่แสดงการกระจายความรับผิดชอบมาตรฐานผลการเรียนรู้จากหลักสูตรสู่รายวิชา (Curriculum Mapping)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pos="5418"/>
        </w:tabs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ตามที่ปรากฏในรายละเอียดของหลักสูตร (Programme Specification) มคอ. ๒</w:t>
      </w:r>
      <w:r w:rsidDel="00000000" w:rsidR="00000000" w:rsidRPr="00000000">
        <w:rPr>
          <w:rtl w:val="0"/>
        </w:rPr>
      </w:r>
    </w:p>
    <w:tbl>
      <w:tblPr>
        <w:tblStyle w:val="Table4"/>
        <w:tblW w:w="14992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  <w:tblGridChange w:id="0">
          <w:tblGrid>
            <w:gridCol w:w="3510"/>
            <w:gridCol w:w="567"/>
            <w:gridCol w:w="40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8"/>
            <w:gridCol w:w="488"/>
            <w:gridCol w:w="488"/>
            <w:gridCol w:w="488"/>
            <w:gridCol w:w="488"/>
            <w:gridCol w:w="763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0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รายวิชา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คุณธรรม จริยธรรม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ความรู้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ทักษะทางปัญญา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8"/>
                <w:szCs w:val="28"/>
                <w:vertAlign w:val="baseline"/>
                <w:rtl w:val="0"/>
              </w:rPr>
              <w:t xml:space="preserve">ทักษะความสัมพันธ์ระหว่างบุคคลและความรับผิดชอบระหว่างบุคคลและความรับผิดชอบ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8"/>
                <w:szCs w:val="28"/>
                <w:vertAlign w:val="baseline"/>
                <w:rtl w:val="0"/>
              </w:rPr>
              <w:t xml:space="preserve"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ทักษะด้านอื่น 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1D9">
            <w:pPr>
              <w:tabs>
                <w:tab w:val="left" w:pos="5418"/>
              </w:tabs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ความรับผิดชอบหลัก                                                       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ความรับผิดชอบรอง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tabs>
                <w:tab w:val="left" w:pos="5418"/>
              </w:tabs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tabs>
                <w:tab w:val="left" w:pos="5418"/>
              </w:tabs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หมวดวิชาศึกษาทั่วไป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๖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๗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๑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๒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๓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๔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๕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๑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๒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๓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๑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๒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๓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tabs>
                <w:tab w:val="left" w:pos="5418"/>
              </w:tabs>
              <w:jc w:val="center"/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8">
            <w:pPr>
              <w:tabs>
                <w:tab w:val="left" w:pos="5418"/>
              </w:tabs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รหัสวิชา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  <w:rtl w:val="0"/>
              </w:rPr>
              <w:t xml:space="preserve"> LOG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๓๒๐๒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tabs>
                <w:tab w:val="left" w:pos="5418"/>
              </w:tabs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ชื่อรายวิชา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การจัดการโลจิสติกส์และฟ่วงโซ่อุปทานระหว่างประเทศ</w:t>
            </w:r>
          </w:p>
          <w:p w:rsidR="00000000" w:rsidDel="00000000" w:rsidP="00000000" w:rsidRDefault="00000000" w:rsidRPr="00000000" w14:paraId="0000020B">
            <w:pPr>
              <w:rPr>
                <w:rFonts w:ascii="Sarabun" w:cs="Sarabun" w:eastAsia="Sarabun" w:hAnsi="Sarabu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Global Logistics and Supply Chain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vertAlign w:val="baseline"/>
                <w:rtl w:val="0"/>
              </w:rPr>
              <w:t xml:space="preserve">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tabs>
          <w:tab w:val="left" w:pos="5418"/>
        </w:tabs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ความรับผิดชอบในแต่ละด้านสามารถเพิ่มลดจำนวนได้ตามความรับผิดชอบ</w:t>
      </w:r>
    </w:p>
    <w:sectPr>
      <w:type w:val="nextPage"/>
      <w:pgSz w:h="12240" w:w="15840" w:orient="landscape"/>
      <w:pgMar w:bottom="924" w:top="1077" w:left="539" w:right="902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rowallia New"/>
  <w:font w:name="Calibri"/>
  <w:font w:name="Georgia"/>
  <w:font w:name="Times New Roman"/>
  <w:font w:name="Arial"/>
  <w:font w:name="Arial Unicode MS"/>
  <w:font w:name="Sarabun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irami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sdt>
      <w:sdtPr>
        <w:tag w:val="goog_rdk_1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หน้า | </w:t>
        </w:r>
      </w:sdtContent>
    </w:sdt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Niramit" w:cs="Niramit" w:eastAsia="Niramit" w:hAnsi="Niramit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รายวิชา ..LOG</w:t>
    </w:r>
    <w:r w:rsidDel="00000000" w:rsidR="00000000" w:rsidRPr="00000000">
      <w:rPr>
        <w:rFonts w:ascii="Niramit" w:cs="Niramit" w:eastAsia="Niramit" w:hAnsi="Niramit"/>
        <w:sz w:val="26"/>
        <w:szCs w:val="26"/>
        <w:rtl w:val="0"/>
      </w:rPr>
      <w:t xml:space="preserve">๓๒๐๒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. สาขาวิชา การจัดการธุรกิจค้าปลีก คณะ/วิทยาลัยโลจิสติกส์และซัพพลายเชน มหาวิทยาลัยราชภัฎสวนสุนันทา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Niramit" w:cs="Niramit" w:eastAsia="Niramit" w:hAnsi="Niramit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หน้า | 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รายวิชา ..LOG</w:t>
    </w:r>
    <w:r w:rsidDel="00000000" w:rsidR="00000000" w:rsidRPr="00000000">
      <w:rPr>
        <w:rFonts w:ascii="Niramit" w:cs="Niramit" w:eastAsia="Niramit" w:hAnsi="Niramit"/>
        <w:sz w:val="26"/>
        <w:szCs w:val="26"/>
        <w:rtl w:val="0"/>
      </w:rPr>
      <w:t xml:space="preserve">๓๒๐๒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... สาขาวิชา การจัดการธุรกิจค้าปลีก คณะ/วิทยาลัย.วิทยาลัยโลจิสติกส์และซัพพลายเชน มหาวิทยาลัยราชภัฎสวนสุนันทา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มคอ. ๓</w:t>
    </w:r>
  </w:p>
  <w:p w:rsidR="00000000" w:rsidDel="00000000" w:rsidP="00000000" w:rsidRDefault="00000000" w:rsidRPr="00000000" w14:paraId="000002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หลักสูตรระดับปริญญา 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□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ตรี 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□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โท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□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เอก</w:t>
    </w:r>
  </w:p>
  <w:p w:rsidR="00000000" w:rsidDel="00000000" w:rsidP="00000000" w:rsidRDefault="00000000" w:rsidRPr="00000000" w14:paraId="000002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มคอ. ๓</w:t>
    </w:r>
  </w:p>
  <w:p w:rsidR="00000000" w:rsidDel="00000000" w:rsidP="00000000" w:rsidRDefault="00000000" w:rsidRPr="00000000" w14:paraId="000002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หลักสูตรระดับปริญญา  </w:t>
    </w: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√</w:t>
        </w:r>
      </w:sdtContent>
    </w:sdt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ตรี 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□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โท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□</w:t>
    </w:r>
    <w:r w:rsidDel="00000000" w:rsidR="00000000" w:rsidRPr="00000000">
      <w:rPr>
        <w:rFonts w:ascii="Niramit" w:cs="Niramit" w:eastAsia="Niramit" w:hAnsi="Nirami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เอก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4">
    <w:lvl w:ilvl="0">
      <w:start w:val="1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6">
    <w:lvl w:ilvl="0">
      <w:start w:val="1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7"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8"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9">
    <w:lvl w:ilvl="0">
      <w:start w:val="5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10"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3">
    <w:lvl w:ilvl="0">
      <w:start w:val="9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4">
    <w:lvl w:ilvl="0">
      <w:start w:val="10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Browallia New" w:cs="Browallia New" w:eastAsia="Browallia New" w:hAnsi="Browallia New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Browallia New" w:cs="Browallia New" w:hAnsi="Browallia New"/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hAnsi="Calibri"/>
      <w:b w:val="1"/>
      <w:bCs w:val="1"/>
      <w:w w:val="100"/>
      <w:position w:val="-1"/>
      <w:sz w:val="28"/>
      <w:szCs w:val="35"/>
      <w:effect w:val="none"/>
      <w:vertAlign w:val="baseline"/>
      <w:cs w:val="0"/>
      <w:em w:val="none"/>
      <w:lang w:bidi="th-TH" w:eastAsia="und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hAnsi="Calibri"/>
      <w:b w:val="1"/>
      <w:bCs w:val="1"/>
      <w:w w:val="100"/>
      <w:position w:val="-1"/>
      <w:sz w:val="22"/>
      <w:szCs w:val="28"/>
      <w:effect w:val="none"/>
      <w:vertAlign w:val="baseline"/>
      <w:cs w:val="0"/>
      <w:em w:val="none"/>
      <w:lang w:bidi="th-TH" w:eastAsia="und" w:val="und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Cordia New" w:eastAsia="Times New Roman" w:hAnsi="Calibri"/>
      <w:w w:val="100"/>
      <w:position w:val="-1"/>
      <w:sz w:val="24"/>
      <w:szCs w:val="30"/>
      <w:effect w:val="none"/>
      <w:vertAlign w:val="baseline"/>
      <w:cs w:val="0"/>
      <w:em w:val="none"/>
      <w:lang w:bidi="th-TH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th-TH" w:eastAsia="und" w:val="und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th-TH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8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0"/>
      <w:effect w:val="none"/>
      <w:vertAlign w:val="baseline"/>
      <w:cs w:val="0"/>
      <w:em w:val="none"/>
      <w:lang w:bidi="th-TH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Cordia New" w:eastAsia="Times New Roman" w:hAnsi="Calibri"/>
      <w:b w:val="1"/>
      <w:bCs w:val="1"/>
      <w:w w:val="100"/>
      <w:position w:val="-1"/>
      <w:sz w:val="28"/>
      <w:szCs w:val="35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Cordia New" w:eastAsia="Times New Roman" w:hAnsi="Calibri"/>
      <w:b w:val="1"/>
      <w:bCs w:val="1"/>
      <w:w w:val="100"/>
      <w:position w:val="-1"/>
      <w:sz w:val="22"/>
      <w:szCs w:val="28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NoSpacingChar">
    <w:name w:val="No Spacing Char"/>
    <w:next w:val="NoSpacingChar"/>
    <w:autoRedefine w:val="0"/>
    <w:hidden w:val="0"/>
    <w:qFormat w:val="0"/>
    <w:rPr>
      <w:rFonts w:ascii="Calibri" w:hAnsi="Calibri"/>
      <w:w w:val="100"/>
      <w:position w:val="-1"/>
      <w:sz w:val="22"/>
      <w:szCs w:val="28"/>
      <w:effect w:val="none"/>
      <w:vertAlign w:val="baseline"/>
      <w:cs w:val="0"/>
      <w:em w:val="none"/>
      <w:lang w:bidi="th-TH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hAnsi="Angsana New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th-TH" w:eastAsia="en-US" w:val="en-US"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" w:cs="Cordia New" w:eastAsia="Times New Roman" w:hAnsi="Calibri"/>
      <w:w w:val="100"/>
      <w:position w:val="-1"/>
      <w:sz w:val="24"/>
      <w:szCs w:val="30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/>
    </w:rPr>
  </w:style>
  <w:style w:type="character" w:styleId="heading31">
    <w:name w:val="heading31"/>
    <w:next w:val="heading31"/>
    <w:autoRedefine w:val="0"/>
    <w:hidden w:val="0"/>
    <w:qFormat w:val="0"/>
    <w:rPr>
      <w:b w:val="1"/>
      <w:bCs w:val="1"/>
      <w:color w:val="030399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color w:val="675e47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://search.barnesandnoble.com/booksearch/results.asp?ATH=Tim+Butcher" TargetMode="External"/><Relationship Id="rId10" Type="http://schemas.openxmlformats.org/officeDocument/2006/relationships/hyperlink" Target="http://search.barnesandnoble.com/booksearch/results.asp?ATH=John+Mangan" TargetMode="External"/><Relationship Id="rId13" Type="http://schemas.openxmlformats.org/officeDocument/2006/relationships/hyperlink" Target="http://www.amazon.com/exec/obidos/search-handle-url/ref=ntt_athr_dp_sr_2?%5Fencoding=UTF8&amp;search-type=ss&amp;index=books&amp;field-author=Panos%20Kouvelis" TargetMode="External"/><Relationship Id="rId12" Type="http://schemas.openxmlformats.org/officeDocument/2006/relationships/hyperlink" Target="http://www.amazon.com/exec/obidos/search-handle-url/ref=ntt_athr_dp_sr_1?%5Fencoding=UTF8&amp;search-type=ss&amp;index=books&amp;field-author=Ricardo%20Ernst" TargetMode="Externa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search.barnesandnoble.com/booksearch/results.asp?ATH=Chandra+Lalwani" TargetMode="External"/><Relationship Id="rId15" Type="http://schemas.openxmlformats.org/officeDocument/2006/relationships/header" Target="header3.xml"/><Relationship Id="rId14" Type="http://schemas.openxmlformats.org/officeDocument/2006/relationships/hyperlink" Target="http://www.amazon.com/exec/obidos/search-handle-url/ref=ntt_athr_dp_sr_3?%5Fencoding=UTF8&amp;search-type=ss&amp;index=books&amp;field-author=Michel%20Fender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19" Type="http://schemas.openxmlformats.org/officeDocument/2006/relationships/footer" Target="footer1.xml"/><Relationship Id="rId6" Type="http://schemas.openxmlformats.org/officeDocument/2006/relationships/styles" Target="styles.xml"/><Relationship Id="rId18" Type="http://schemas.openxmlformats.org/officeDocument/2006/relationships/footer" Target="footer2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Sarabun-regular.ttf"/><Relationship Id="rId3" Type="http://schemas.openxmlformats.org/officeDocument/2006/relationships/font" Target="fonts/Sarabun-bold.ttf"/><Relationship Id="rId4" Type="http://schemas.openxmlformats.org/officeDocument/2006/relationships/font" Target="fonts/Sarabun-italic.ttf"/><Relationship Id="rId9" Type="http://schemas.openxmlformats.org/officeDocument/2006/relationships/font" Target="fonts/Niramit-boldItalic.ttf"/><Relationship Id="rId5" Type="http://schemas.openxmlformats.org/officeDocument/2006/relationships/font" Target="fonts/Sarabun-boldItalic.ttf"/><Relationship Id="rId6" Type="http://schemas.openxmlformats.org/officeDocument/2006/relationships/font" Target="fonts/Niramit-regular.ttf"/><Relationship Id="rId7" Type="http://schemas.openxmlformats.org/officeDocument/2006/relationships/font" Target="fonts/Niramit-bold.ttf"/><Relationship Id="rId8" Type="http://schemas.openxmlformats.org/officeDocument/2006/relationships/font" Target="fonts/Nirami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/zyL0j/SnVnjJV9k/Orq67jUwg==">AMUW2mWjLAktpw862burPEaOXS5LfK7eS8oRtS9r2Ylxatpe/Y3fE03nfKfONDMRdOBEGZcXgOVpDdQOvzXJsUpPV3j8zk+D/itN9R+gCcrDLE0nwFTbYOlS1z2m+jVpsz3ROIMjStbl36Ng9mEFkKYij94YVOoAzYHHu78RIeyzEpZgbGuMYpx9eCpmPNJvRWgg56c/w45rEdoFxydy8roDLGjH1u01qi5KGcJtu2JkRpYbxY0e8hs=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2022-03-15T19:49:00Z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